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E0" w:rsidRPr="008C1AE0" w:rsidRDefault="008C1AE0" w:rsidP="008C1AE0">
      <w:pPr>
        <w:spacing w:line="240" w:lineRule="auto"/>
        <w:outlineLvl w:val="0"/>
        <w:rPr>
          <w:rFonts w:ascii="Arial" w:eastAsia="Times New Roman" w:hAnsi="Arial" w:cs="Arial"/>
          <w:color w:val="1C3E5D"/>
          <w:kern w:val="36"/>
          <w:sz w:val="48"/>
          <w:szCs w:val="48"/>
          <w:lang w:eastAsia="es-ES"/>
        </w:rPr>
      </w:pPr>
      <w:r w:rsidRPr="008C1AE0">
        <w:rPr>
          <w:rFonts w:ascii="Arial" w:eastAsia="Times New Roman" w:hAnsi="Arial" w:cs="Arial"/>
          <w:color w:val="1C3E5D"/>
          <w:kern w:val="36"/>
          <w:sz w:val="48"/>
          <w:szCs w:val="48"/>
          <w:lang w:eastAsia="es-ES"/>
        </w:rPr>
        <w:t>Decreto 311/20 Abstención de corte de Servicios en caso de mora o falta de pago.</w:t>
      </w:r>
    </w:p>
    <w:p w:rsidR="008C1AE0" w:rsidRPr="008C1AE0" w:rsidRDefault="008C1AE0" w:rsidP="008C1AE0">
      <w:pPr>
        <w:spacing w:after="376" w:line="240" w:lineRule="auto"/>
        <w:rPr>
          <w:rFonts w:ascii="Times New Roman" w:eastAsia="Times New Roman" w:hAnsi="Times New Roman" w:cs="Times New Roman"/>
          <w:sz w:val="24"/>
          <w:szCs w:val="24"/>
          <w:lang w:eastAsia="es-ES"/>
        </w:rPr>
      </w:pPr>
      <w:r w:rsidRPr="008C1AE0">
        <w:rPr>
          <w:rFonts w:ascii="Times New Roman" w:eastAsia="Times New Roman" w:hAnsi="Times New Roman" w:cs="Times New Roman"/>
          <w:sz w:val="24"/>
          <w:szCs w:val="24"/>
          <w:lang w:eastAsia="es-ES"/>
        </w:rPr>
        <w:t>25 marzo, 2020 | Por </w:t>
      </w:r>
      <w:hyperlink r:id="rId6" w:history="1">
        <w:r w:rsidRPr="008C1AE0">
          <w:rPr>
            <w:rFonts w:ascii="Times New Roman" w:eastAsia="Times New Roman" w:hAnsi="Times New Roman" w:cs="Times New Roman"/>
            <w:color w:val="222222"/>
            <w:sz w:val="24"/>
            <w:szCs w:val="24"/>
            <w:lang w:eastAsia="es-ES"/>
          </w:rPr>
          <w:t>Ignacio</w:t>
        </w:r>
      </w:hyperlink>
      <w:r w:rsidRPr="008C1AE0">
        <w:rPr>
          <w:rFonts w:ascii="Times New Roman" w:eastAsia="Times New Roman" w:hAnsi="Times New Roman" w:cs="Times New Roman"/>
          <w:sz w:val="24"/>
          <w:szCs w:val="24"/>
          <w:lang w:eastAsia="es-ES"/>
        </w:rPr>
        <w:t> </w:t>
      </w:r>
      <w:hyperlink r:id="rId7" w:anchor="comments" w:history="1">
        <w:r w:rsidRPr="008C1AE0">
          <w:rPr>
            <w:rFonts w:ascii="Times New Roman" w:eastAsia="Times New Roman" w:hAnsi="Times New Roman" w:cs="Times New Roman"/>
            <w:color w:val="222222"/>
            <w:sz w:val="24"/>
            <w:szCs w:val="24"/>
            <w:u w:val="single"/>
            <w:lang w:eastAsia="es-ES"/>
          </w:rPr>
          <w:t>4 comentarios</w:t>
        </w:r>
      </w:hyperlink>
      <w:r w:rsidRPr="008C1AE0">
        <w:rPr>
          <w:rFonts w:ascii="Times New Roman" w:eastAsia="Times New Roman" w:hAnsi="Times New Roman" w:cs="Times New Roman"/>
          <w:sz w:val="24"/>
          <w:szCs w:val="24"/>
          <w:lang w:eastAsia="es-ES"/>
        </w:rPr>
        <w:t xml:space="preserve"> | </w:t>
      </w:r>
      <w:proofErr w:type="spellStart"/>
      <w:r w:rsidRPr="008C1AE0">
        <w:rPr>
          <w:rFonts w:ascii="Times New Roman" w:eastAsia="Times New Roman" w:hAnsi="Times New Roman" w:cs="Times New Roman"/>
          <w:sz w:val="24"/>
          <w:szCs w:val="24"/>
          <w:lang w:eastAsia="es-ES"/>
        </w:rPr>
        <w:t>Suscribite</w:t>
      </w:r>
      <w:proofErr w:type="spellEnd"/>
      <w:r w:rsidRPr="008C1AE0">
        <w:rPr>
          <w:rFonts w:ascii="Times New Roman" w:eastAsia="Times New Roman" w:hAnsi="Times New Roman" w:cs="Times New Roman"/>
          <w:sz w:val="24"/>
          <w:szCs w:val="24"/>
          <w:lang w:eastAsia="es-ES"/>
        </w:rPr>
        <w:t xml:space="preserve"> haciendo</w:t>
      </w:r>
      <w:hyperlink r:id="rId8" w:history="1">
        <w:r w:rsidRPr="008C1AE0">
          <w:rPr>
            <w:rFonts w:ascii="Times New Roman" w:eastAsia="Times New Roman" w:hAnsi="Times New Roman" w:cs="Times New Roman"/>
            <w:color w:val="222222"/>
            <w:sz w:val="24"/>
            <w:szCs w:val="24"/>
            <w:u w:val="single"/>
            <w:lang w:eastAsia="es-ES"/>
          </w:rPr>
          <w:t> clic aquí.</w:t>
        </w:r>
      </w:hyperlink>
    </w:p>
    <w:p w:rsidR="008C1AE0" w:rsidRPr="008C1AE0" w:rsidRDefault="008C1AE0" w:rsidP="008C1AE0">
      <w:pPr>
        <w:shd w:val="clear" w:color="auto" w:fill="FFFFFF"/>
        <w:spacing w:line="240" w:lineRule="auto"/>
        <w:outlineLvl w:val="1"/>
        <w:rPr>
          <w:rFonts w:ascii="Arial" w:eastAsia="Times New Roman" w:hAnsi="Arial" w:cs="Arial"/>
          <w:color w:val="333333"/>
          <w:sz w:val="36"/>
          <w:szCs w:val="36"/>
          <w:lang w:eastAsia="es-ES"/>
        </w:rPr>
      </w:pPr>
      <w:r w:rsidRPr="008C1AE0">
        <w:rPr>
          <w:rFonts w:ascii="Arial" w:eastAsia="Times New Roman" w:hAnsi="Arial" w:cs="Arial"/>
          <w:color w:val="333333"/>
          <w:sz w:val="36"/>
          <w:szCs w:val="36"/>
          <w:lang w:eastAsia="es-ES"/>
        </w:rPr>
        <w:t>EMERGENCIA SANITARIA</w:t>
      </w:r>
      <w:r w:rsidRPr="008C1AE0">
        <w:rPr>
          <w:rFonts w:ascii="Arial" w:eastAsia="Times New Roman" w:hAnsi="Arial" w:cs="Arial"/>
          <w:color w:val="333333"/>
          <w:sz w:val="36"/>
          <w:szCs w:val="36"/>
          <w:lang w:eastAsia="es-ES"/>
        </w:rPr>
        <w:br/>
        <w:t>Decreto 311/2020</w:t>
      </w:r>
    </w:p>
    <w:p w:rsidR="008C1AE0" w:rsidRPr="008C1AE0" w:rsidRDefault="008C1AE0" w:rsidP="008C1AE0">
      <w:pPr>
        <w:shd w:val="clear" w:color="auto" w:fill="EEEEEE"/>
        <w:spacing w:after="326" w:line="240" w:lineRule="auto"/>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DECNU-2020-311-APN-PTE – Abstención de corte de Servicios en caso de mora o falta de pago.</w:t>
      </w:r>
    </w:p>
    <w:p w:rsidR="008C1AE0" w:rsidRPr="008C1AE0" w:rsidRDefault="008C1AE0" w:rsidP="008C1AE0">
      <w:pPr>
        <w:shd w:val="clear" w:color="auto" w:fill="FFFFFF"/>
        <w:spacing w:after="326" w:line="240" w:lineRule="auto"/>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Ciudad de Buenos Aires, 24/03/2020</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 xml:space="preserve">VISTO el Expediente N° EX-2020-18610263-APN-DGDOMEN#MHA, la Ley Nº 27.541, los Decretos </w:t>
      </w:r>
      <w:proofErr w:type="spellStart"/>
      <w:r w:rsidRPr="008C1AE0">
        <w:rPr>
          <w:rFonts w:ascii="Arial" w:eastAsia="Times New Roman" w:hAnsi="Arial" w:cs="Arial"/>
          <w:color w:val="222222"/>
          <w:sz w:val="20"/>
          <w:szCs w:val="20"/>
          <w:lang w:eastAsia="es-ES"/>
        </w:rPr>
        <w:t>Nros</w:t>
      </w:r>
      <w:proofErr w:type="spellEnd"/>
      <w:r w:rsidRPr="008C1AE0">
        <w:rPr>
          <w:rFonts w:ascii="Arial" w:eastAsia="Times New Roman" w:hAnsi="Arial" w:cs="Arial"/>
          <w:color w:val="222222"/>
          <w:sz w:val="20"/>
          <w:szCs w:val="20"/>
          <w:lang w:eastAsia="es-ES"/>
        </w:rPr>
        <w:t>. 260 del 12 de marzo de 2020 y su modificatorio, 287 del 17 de marzo 2020 y 297 del 19 de marzo de 2020, y</w:t>
      </w:r>
    </w:p>
    <w:p w:rsidR="008C1AE0" w:rsidRPr="008C1AE0" w:rsidRDefault="008C1AE0" w:rsidP="008C1AE0">
      <w:pPr>
        <w:shd w:val="clear" w:color="auto" w:fill="FFFFFF"/>
        <w:spacing w:after="326" w:line="240" w:lineRule="auto"/>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CONSIDERANDO: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por el Decreto N° 260 del 12 de marzo de 2020 se amplió, por el plazo de UN (1) año, la emergencia pública en materia sanitaria establecida por la Ley N° 27.541, en virtud de la pandemia declarada por la ORGANIZACIÓN MUNDIAL DE LA SALUD (OMS) en relación con el coronavirus (SARS-CoV-2) y la enfermedad que provoca el COVID-19.</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dada la evolución de la pandemia, se han intensificado los controles del ESTADO NACIONAL para garantizar los derechos contemplados en el artículo 42 de la CONSTITUCIÓN NACIONAL respecto de los consumidores y usuarios de bienes y servicios en la relación de consumo.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es mandato constitucional que las autoridades provean a la protección de esos derechos, a la educación para el consumo, a la defensa de la competencia contra toda forma de distorsión de los mercados y al control de los monopolios naturales y legales.</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con base en esos lineamientos, mediante el Decreto Nº 287 del 17 de marzo de 2020 se establecieron medidas acordes con la dinámica de la pandemia para mitigar su impacto sobre la vida social de la población en su conjunto.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a través del Decreto N° 297 del 19 de marzo de 2020 y con el fin de proteger la salud pública, obligación inalienable del ESTADO NACIONAL, se estableció para todas las personas que habitan en el país o se encuentren en él en forma temporaria, la medida de “aislamiento social, preventivo y obligatorio” en los términos allí indicados desde el 20 hasta el 31 de marzo inclusive del corriente año, pudiéndose prorrogar este plazo por el tiempo que se considere necesario en atención a la situación epidemiológica.</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 xml:space="preserve">Que en esta instancia y con la misma finalidad de mitigar el impacto local de la emergencia sanitaria internacional, procede disponer la suspensión temporaria del corte de suministro de servicios que resultan centrales para el desarrollo de la vida diaria, y aún más en el actual estado de aislamiento social, preventivo y obligatorio dispuesto por el Decreto N° 297/20, tales </w:t>
      </w:r>
      <w:r w:rsidRPr="008C1AE0">
        <w:rPr>
          <w:rFonts w:ascii="Arial" w:eastAsia="Times New Roman" w:hAnsi="Arial" w:cs="Arial"/>
          <w:color w:val="222222"/>
          <w:sz w:val="20"/>
          <w:szCs w:val="20"/>
          <w:lang w:eastAsia="es-ES"/>
        </w:rPr>
        <w:lastRenderedPageBreak/>
        <w:t>como el suministro de energía eléctrica, agua corriente, gas por redes, telefonía fija y móvil e Internet y televisión por cable, por vínculo radioeléctrico o satelital, entre otros.</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la iniciativa busca así garantizar –en el marco de esta emergencia– el acceso a esos servicios, los que constituyen medios instrumentales para el ejercicio de derechos fundamentales (tales como a la salud, a la educación o la alimentación) para nuestros ciudadanos y ciudadanas.</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la CONSTITUCIÓN NACIONAL lo incorpora a través del artículo 14 bis tercer párrafo: “El Estado otorgará los beneficios de (…) el acceso a una vivienda digna”.</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a partir de la recepción constitucional de los tratados de derechos humanos, el derecho a la vivienda adquiere mayor contenido y extensión (cfr. artículo 75 inciso 22 de la CONSTITUCIÓN NACIONAL). En ese sentido, el Pacto Internacional de Derechos Económicos, Sociales y Culturales con rango constitucional es el que define con mayor extensión y claridad el derecho a la vivienda a través del artículo 11 primer párrafo: “Los Estados Parte en el presente Pacto reconocen el derecho de toda persona a un nivel adecuado de vida para sí y su familia, incluso alimentación, vestido y vivienda adecuados, y a una mejora continua de las condiciones de existencia (…)”.</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en idéntico sentido se pronuncian, entre otros, la Declaración Universal de Derechos Humanos (artículo 25), la Declaración Americana sobre Derechos y Deberes del Hombre (artículo XI) y la Convención Americana sobre Derechos Humanos (artículo 26).</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el Comité de Derechos Económicos, Sociales y Culturales, órgano de aplicación del Pacto Internacional de Derechos Económicos Sociales y Culturales (PIDESC), ha entendido que el derecho a una vivienda adecuada contiene la disponibilidad de servicios: “Una vivienda adecuada debe contener ciertos servicios indispensables para la salud, la seguridad, la comodidad y la nutrición” (cfr. párrafo 8 punto b de la Observación General N° 4 de dicho Comité).</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en tal sentido, nuestro más alto tribunal también ha señalado, in re “Centro de Estudios para la Promoción de la Igualdad y la Solidaridad y otros c/ Ministerio de Energía y Minería s/Amparo Colectivo”, que “el Estado debe velar por la continuidad, universalidad y accesibilidad de los servicios públicos, ponderando la realidad económico-social concreta de los afectados por la decisión tarifaria con especial atención a los sectores más vulnerables y evitando, de esta forma, el perjuicio social provocado por la exclusión de numerosos usuarios de dichos servicios esenciales como consecuencia de una tarifa que, por su elevada cuantía, pudiera calificarse de confiscatoria, en tanto detraiga de manera irrazonable una proporción excesiva de los ingresos del grupo familiar a considerar.”</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asimismo, y con el fin de evitar la acumulación de deudas que se transformen en impagables para familias y pequeños comerciantes e industriales, corresponde disponer un plan de pagos que facilite afrontar las deudas que se pudieran generar durante la vigencia y en relación con la presente medida.</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lastRenderedPageBreak/>
        <w:t>Que el artículo 22 de la Ley N° 26.122 dispone que las Cámaras se pronuncien mediante sendas resoluciones, y que el rechazo o aprobación de los decretos deberá ser expreso conforme lo establecido en el artículo 82 de la CONSTITUCIÓN NACIONAL.</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el servicio jurídico pertinente ha tomado la intervención de su competencia.</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Que la presente medida se dicta en uso de las atribuciones conferidas por el artículo 99 incisos 1 y 3 de la CONSTITUCIÓN NACIONAL.</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Por ello,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b/>
          <w:bCs/>
          <w:color w:val="222222"/>
          <w:sz w:val="20"/>
          <w:lang w:eastAsia="es-ES"/>
        </w:rPr>
        <w:t>EL PRESIDENTE DE LA NACIÓN ARGENTINA EN ACUERDO GENERAL DE MINISTROS</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b/>
          <w:bCs/>
          <w:color w:val="222222"/>
          <w:sz w:val="20"/>
          <w:lang w:eastAsia="es-ES"/>
        </w:rPr>
        <w:t>DECRETA</w:t>
      </w:r>
      <w:r w:rsidRPr="008C1AE0">
        <w:rPr>
          <w:rFonts w:ascii="Arial" w:eastAsia="Times New Roman" w:hAnsi="Arial" w:cs="Arial"/>
          <w:color w:val="222222"/>
          <w:sz w:val="20"/>
          <w:szCs w:val="20"/>
          <w:lang w:eastAsia="es-ES"/>
        </w:rPr>
        <w:t>:</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ARTÍCULO 1º.- Las empresas prestadoras de los servicios de energía eléctrica, gas por redes y agua corriente, telefonía fija o móvil e Internet y TV por cable, por vínculo radioeléctrico o satelital, no podrán disponer la suspensión o el corte de los respectivos servicios a los usuarios y las usuarias indicados en el artículo 3°, en caso de mora o falta de pago de hasta TRES (3) facturas consecutivas o alternas, con vencimientos desde el 1° de marzo de 2020. Quedan comprendidos los usuarios con aviso de corte en curso.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Si se tratare de servicios de telefonía fija o móvil, Internet y TV por cable, por vínculo radioeléctrico o satelital, las empresas prestatarias quedarán obligadas a mantener un servicio reducido, conforme se establezca en la reglamentación.</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Estas obligaciones se mantendrán por el plazo de CIENTO OCHENTA (180) días corridos a contar desde la vigencia de la presente medida.</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En ningún caso la prohibición alcanzará a aquellos cortes o suspensiones dispuestos por las prestadoras por razones de seguridad, conforme sus respectivas habilitaciones y normas que regulan la actividad.</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ARTÍCULO 2°.- Si los usuarios y las usuarias que cuentan con sistema de servicio prepago de energía eléctrica no abonaren la correspondiente recarga para acceder al consumo, las empresas prestadoras deberán brindar el servicio de manera normal y habitual durante el plazo previsto en el artículo 1° del presente.</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Si los usuarios o las usuarias que cuentan con sistema de servicio prepago de telefonía móvil o Internet no abonaren la correspondiente recarga para acceder al consumo, las empresas prestadoras deberán brindar un servicio reducido que garantice la conectividad, según lo establezca la reglamentación. Esta obligación regirá hasta el día 30 de abril del año en curso.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ARTÍCULO 3°.-</w:t>
      </w:r>
    </w:p>
    <w:p w:rsidR="008C1AE0" w:rsidRPr="008C1AE0" w:rsidRDefault="008C1AE0" w:rsidP="008C1AE0">
      <w:pPr>
        <w:numPr>
          <w:ilvl w:val="0"/>
          <w:numId w:val="1"/>
        </w:numPr>
        <w:shd w:val="clear" w:color="auto" w:fill="FFFFFF"/>
        <w:spacing w:before="100" w:beforeAutospacing="1" w:after="100" w:afterAutospacing="1" w:line="240" w:lineRule="auto"/>
        <w:ind w:left="501"/>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Las medidas dispuestas en los artículos 1° y 2° serán de aplicación respecto de los siguientes usuarios y usuarias residenciales:</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 Beneficiarios y beneficiarias de la Asignación Universal por Hijo (AUH) y la Asignación por Embarazo.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b. Beneficiarios y beneficiarias de Pensiones no Contributivas que perciban ingresos mensuales brutos no superiores a DOS (2) veces el Salario Mínimo Vital y Móvil.</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lastRenderedPageBreak/>
        <w:t xml:space="preserve">c. Usuarios inscriptos y usuarias inscriptas en el Régimen de </w:t>
      </w:r>
      <w:proofErr w:type="spellStart"/>
      <w:r w:rsidRPr="008C1AE0">
        <w:rPr>
          <w:rFonts w:ascii="Arial" w:eastAsia="Times New Roman" w:hAnsi="Arial" w:cs="Arial"/>
          <w:color w:val="222222"/>
          <w:sz w:val="20"/>
          <w:szCs w:val="20"/>
          <w:lang w:eastAsia="es-ES"/>
        </w:rPr>
        <w:t>Monotributo</w:t>
      </w:r>
      <w:proofErr w:type="spellEnd"/>
      <w:r w:rsidRPr="008C1AE0">
        <w:rPr>
          <w:rFonts w:ascii="Arial" w:eastAsia="Times New Roman" w:hAnsi="Arial" w:cs="Arial"/>
          <w:color w:val="222222"/>
          <w:sz w:val="20"/>
          <w:szCs w:val="20"/>
          <w:lang w:eastAsia="es-ES"/>
        </w:rPr>
        <w:t xml:space="preserve"> Social.</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d. Jubilados y jubiladas; pensionadas y pensionados; y trabajadores y trabajadoras en relación de dependencia que perciban una remuneración bruta menor o igual a DOS (2) Salarios Mínimos Vitales y Móviles.</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 xml:space="preserve">e. Trabajadores </w:t>
      </w:r>
      <w:proofErr w:type="spellStart"/>
      <w:r w:rsidRPr="008C1AE0">
        <w:rPr>
          <w:rFonts w:ascii="Arial" w:eastAsia="Times New Roman" w:hAnsi="Arial" w:cs="Arial"/>
          <w:color w:val="222222"/>
          <w:sz w:val="20"/>
          <w:szCs w:val="20"/>
          <w:lang w:eastAsia="es-ES"/>
        </w:rPr>
        <w:t>monotributistas</w:t>
      </w:r>
      <w:proofErr w:type="spellEnd"/>
      <w:r w:rsidRPr="008C1AE0">
        <w:rPr>
          <w:rFonts w:ascii="Arial" w:eastAsia="Times New Roman" w:hAnsi="Arial" w:cs="Arial"/>
          <w:color w:val="222222"/>
          <w:sz w:val="20"/>
          <w:szCs w:val="20"/>
          <w:lang w:eastAsia="es-ES"/>
        </w:rPr>
        <w:t xml:space="preserve"> inscriptos y trabajadoras </w:t>
      </w:r>
      <w:proofErr w:type="spellStart"/>
      <w:r w:rsidRPr="008C1AE0">
        <w:rPr>
          <w:rFonts w:ascii="Arial" w:eastAsia="Times New Roman" w:hAnsi="Arial" w:cs="Arial"/>
          <w:color w:val="222222"/>
          <w:sz w:val="20"/>
          <w:szCs w:val="20"/>
          <w:lang w:eastAsia="es-ES"/>
        </w:rPr>
        <w:t>monotributistas</w:t>
      </w:r>
      <w:proofErr w:type="spellEnd"/>
      <w:r w:rsidRPr="008C1AE0">
        <w:rPr>
          <w:rFonts w:ascii="Arial" w:eastAsia="Times New Roman" w:hAnsi="Arial" w:cs="Arial"/>
          <w:color w:val="222222"/>
          <w:sz w:val="20"/>
          <w:szCs w:val="20"/>
          <w:lang w:eastAsia="es-ES"/>
        </w:rPr>
        <w:t xml:space="preserve"> inscriptas en una categoría cuyo ingreso anual </w:t>
      </w:r>
      <w:proofErr w:type="spellStart"/>
      <w:r w:rsidRPr="008C1AE0">
        <w:rPr>
          <w:rFonts w:ascii="Arial" w:eastAsia="Times New Roman" w:hAnsi="Arial" w:cs="Arial"/>
          <w:color w:val="222222"/>
          <w:sz w:val="20"/>
          <w:szCs w:val="20"/>
          <w:lang w:eastAsia="es-ES"/>
        </w:rPr>
        <w:t>mensualizado</w:t>
      </w:r>
      <w:proofErr w:type="spellEnd"/>
      <w:r w:rsidRPr="008C1AE0">
        <w:rPr>
          <w:rFonts w:ascii="Arial" w:eastAsia="Times New Roman" w:hAnsi="Arial" w:cs="Arial"/>
          <w:color w:val="222222"/>
          <w:sz w:val="20"/>
          <w:szCs w:val="20"/>
          <w:lang w:eastAsia="es-ES"/>
        </w:rPr>
        <w:t xml:space="preserve"> no supere en DOS (2) veces el Salario Mínimo Vital y Móvil.</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f. Usuarios y usuarias que perciben seguro de desempleo.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 xml:space="preserve">g. </w:t>
      </w:r>
      <w:proofErr w:type="spellStart"/>
      <w:r w:rsidRPr="008C1AE0">
        <w:rPr>
          <w:rFonts w:ascii="Arial" w:eastAsia="Times New Roman" w:hAnsi="Arial" w:cs="Arial"/>
          <w:color w:val="222222"/>
          <w:sz w:val="20"/>
          <w:szCs w:val="20"/>
          <w:lang w:eastAsia="es-ES"/>
        </w:rPr>
        <w:t>Electrodependientes</w:t>
      </w:r>
      <w:proofErr w:type="spellEnd"/>
      <w:r w:rsidRPr="008C1AE0">
        <w:rPr>
          <w:rFonts w:ascii="Arial" w:eastAsia="Times New Roman" w:hAnsi="Arial" w:cs="Arial"/>
          <w:color w:val="222222"/>
          <w:sz w:val="20"/>
          <w:szCs w:val="20"/>
          <w:lang w:eastAsia="es-ES"/>
        </w:rPr>
        <w:t>, beneficiarios de la Ley N° 27.351.</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h. Usuarios incorporados y usuarias incorporadas en el Régimen Especial de Seguridad Social para Empleados de Casas Particulares (Ley N° 26.844).</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i. Exentos en el pago de ABL o tributos locales de igual naturaleza.</w:t>
      </w:r>
    </w:p>
    <w:p w:rsidR="008C1AE0" w:rsidRPr="008C1AE0" w:rsidRDefault="008C1AE0" w:rsidP="008C1AE0">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Las medidas dispuestas en los artículos 1° y 2° serán de aplicación respecto de los siguientes usuarios y usuarias no residenciales:</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 las Micro, Pequeñas y Medianas Empresas (</w:t>
      </w:r>
      <w:proofErr w:type="spellStart"/>
      <w:r w:rsidRPr="008C1AE0">
        <w:rPr>
          <w:rFonts w:ascii="Arial" w:eastAsia="Times New Roman" w:hAnsi="Arial" w:cs="Arial"/>
          <w:color w:val="222222"/>
          <w:sz w:val="20"/>
          <w:szCs w:val="20"/>
          <w:lang w:eastAsia="es-ES"/>
        </w:rPr>
        <w:t>MiPyMES</w:t>
      </w:r>
      <w:proofErr w:type="spellEnd"/>
      <w:r w:rsidRPr="008C1AE0">
        <w:rPr>
          <w:rFonts w:ascii="Arial" w:eastAsia="Times New Roman" w:hAnsi="Arial" w:cs="Arial"/>
          <w:color w:val="222222"/>
          <w:sz w:val="20"/>
          <w:szCs w:val="20"/>
          <w:lang w:eastAsia="es-ES"/>
        </w:rPr>
        <w:t>), conforme lo dispuesto por la Ley N° 25.300 afectadas en la emergencia, según lo establezca la reglamentación;</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b. las Cooperativas de Trabajo o Empresas Recuperadas inscriptas en el INSTITUTO NACIONAL DE ASOCIATIVISMO Y ECONOMÍA SOCIAL (INAES) afectadas en la emergencia, según lo establezca la reglamentación;</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c. las instituciones de salud, públicas y privadas afectadas en la emergencia, según lo establezca la reglamentación;</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d. las Entidades de Bien Público que contribuyan a la elaboración y distribución de alimentos en el marco de la emergencia alimentaria.</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ARTÍCULO 4°.- La autoridad de aplicación podrá incorporar otros beneficiarios y otras beneficiarias de las medidas dispuestas en los artículos 1° y 2°, siempre que su capacidad de pago resulte sensiblemente afectada por la situación de emergencia sanitaria y las consecuencias que de ella se deriven. La merma en la capacidad de pago deberá ser definida y acreditada de acuerdo con lo que establezca la reglamentación.</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ARTÍCULO 5°.- En todos los casos, las empresas prestadoras de los servicios detallados en los artículos 1° y 2° deberán otorgar a los usuarios y a las usuarias, planes de facilidades de pago para cancelar las deudas que se generen durante el plazo de vigencia de las medidas aquí dispuestas, conforme las pautas que establezcan los entes reguladores o las autoridades de aplicación de los marcos jurídicos relativos a los servicios involucrados, con la conformidad de la Autoridad de Aplicación.</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ARTÍCULO 6º.- Los precios máximos de referencia para la comercialización de gas licuado de petróleo (GLP) en las garrafas, cilindros y/o granel con destino a consumo del mercado interno continuarán con los valores vigentes a la fecha de publicación de la presente medida, durante CIENTO OCHENTA (180) días. La Autoridad de Aplicación deberá definir los mecanismos necesarios con el fin de garantizar el adecuado abastecimiento de la demanda residencial.</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lastRenderedPageBreak/>
        <w:t>ARTÍCULO 7°.- Las prestadoras deberán dar adecuada publicidad a lo dispuesto en el presente decreto respecto de los servicios a su cargo.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 xml:space="preserve">ARTÍCULO 8º.- </w:t>
      </w:r>
      <w:proofErr w:type="spellStart"/>
      <w:r w:rsidRPr="008C1AE0">
        <w:rPr>
          <w:rFonts w:ascii="Arial" w:eastAsia="Times New Roman" w:hAnsi="Arial" w:cs="Arial"/>
          <w:color w:val="222222"/>
          <w:sz w:val="20"/>
          <w:szCs w:val="20"/>
          <w:lang w:eastAsia="es-ES"/>
        </w:rPr>
        <w:t>Desígnase</w:t>
      </w:r>
      <w:proofErr w:type="spellEnd"/>
      <w:r w:rsidRPr="008C1AE0">
        <w:rPr>
          <w:rFonts w:ascii="Arial" w:eastAsia="Times New Roman" w:hAnsi="Arial" w:cs="Arial"/>
          <w:color w:val="222222"/>
          <w:sz w:val="20"/>
          <w:szCs w:val="20"/>
          <w:lang w:eastAsia="es-ES"/>
        </w:rPr>
        <w:t xml:space="preserve"> como Autoridad de Aplicación del presente decreto al MINISTERIO DE DESARROLLO PRODUCTIVO, con participación y consulta de demás áreas competentes, el que deberá dictar las normas reglamentarias y complementarias necesarias para el cumplimiento del presente decreto.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 xml:space="preserve">ARTÍCULO 9°.- </w:t>
      </w:r>
      <w:proofErr w:type="spellStart"/>
      <w:r w:rsidRPr="008C1AE0">
        <w:rPr>
          <w:rFonts w:ascii="Arial" w:eastAsia="Times New Roman" w:hAnsi="Arial" w:cs="Arial"/>
          <w:color w:val="222222"/>
          <w:sz w:val="20"/>
          <w:szCs w:val="20"/>
          <w:lang w:eastAsia="es-ES"/>
        </w:rPr>
        <w:t>Invítase</w:t>
      </w:r>
      <w:proofErr w:type="spellEnd"/>
      <w:r w:rsidRPr="008C1AE0">
        <w:rPr>
          <w:rFonts w:ascii="Arial" w:eastAsia="Times New Roman" w:hAnsi="Arial" w:cs="Arial"/>
          <w:color w:val="222222"/>
          <w:sz w:val="20"/>
          <w:szCs w:val="20"/>
          <w:lang w:eastAsia="es-ES"/>
        </w:rPr>
        <w:t xml:space="preserve"> a las Provincias y a la CIUDAD AUTÓNOMA DE BUENOS AIRES a adherir al presente decreto.</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ARTÍCULO 10.- La presente medida entrará en vigencia el día de su publicación en el BOLETÍN OFICIAL.</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 xml:space="preserve">ARTÍCULO 11.- </w:t>
      </w:r>
      <w:proofErr w:type="spellStart"/>
      <w:r w:rsidRPr="008C1AE0">
        <w:rPr>
          <w:rFonts w:ascii="Arial" w:eastAsia="Times New Roman" w:hAnsi="Arial" w:cs="Arial"/>
          <w:color w:val="222222"/>
          <w:sz w:val="20"/>
          <w:szCs w:val="20"/>
          <w:lang w:eastAsia="es-ES"/>
        </w:rPr>
        <w:t>Dése</w:t>
      </w:r>
      <w:proofErr w:type="spellEnd"/>
      <w:r w:rsidRPr="008C1AE0">
        <w:rPr>
          <w:rFonts w:ascii="Arial" w:eastAsia="Times New Roman" w:hAnsi="Arial" w:cs="Arial"/>
          <w:color w:val="222222"/>
          <w:sz w:val="20"/>
          <w:szCs w:val="20"/>
          <w:lang w:eastAsia="es-ES"/>
        </w:rPr>
        <w:t xml:space="preserve"> cuenta a la Comisión Bicameral Permanente del HONORABLE CONGRESO DE LA NACIÓN.</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 xml:space="preserve">ARTÍCULO 12.- Comuníquese, publíquese, </w:t>
      </w:r>
      <w:proofErr w:type="spellStart"/>
      <w:r w:rsidRPr="008C1AE0">
        <w:rPr>
          <w:rFonts w:ascii="Arial" w:eastAsia="Times New Roman" w:hAnsi="Arial" w:cs="Arial"/>
          <w:color w:val="222222"/>
          <w:sz w:val="20"/>
          <w:szCs w:val="20"/>
          <w:lang w:eastAsia="es-ES"/>
        </w:rPr>
        <w:t>dése</w:t>
      </w:r>
      <w:proofErr w:type="spellEnd"/>
      <w:r w:rsidRPr="008C1AE0">
        <w:rPr>
          <w:rFonts w:ascii="Arial" w:eastAsia="Times New Roman" w:hAnsi="Arial" w:cs="Arial"/>
          <w:color w:val="222222"/>
          <w:sz w:val="20"/>
          <w:szCs w:val="20"/>
          <w:lang w:eastAsia="es-ES"/>
        </w:rPr>
        <w:t xml:space="preserve"> a la DIRECCIÓN NACIONAL DEL REGISTRO OFICIAL y archívese. FERNÁNDEZ – Santiago Andrés Cafiero – Eduardo Enrique de Pedro – Felipe Carlos </w:t>
      </w:r>
      <w:proofErr w:type="spellStart"/>
      <w:r w:rsidRPr="008C1AE0">
        <w:rPr>
          <w:rFonts w:ascii="Arial" w:eastAsia="Times New Roman" w:hAnsi="Arial" w:cs="Arial"/>
          <w:color w:val="222222"/>
          <w:sz w:val="20"/>
          <w:szCs w:val="20"/>
          <w:lang w:eastAsia="es-ES"/>
        </w:rPr>
        <w:t>Solá</w:t>
      </w:r>
      <w:proofErr w:type="spellEnd"/>
      <w:r w:rsidRPr="008C1AE0">
        <w:rPr>
          <w:rFonts w:ascii="Arial" w:eastAsia="Times New Roman" w:hAnsi="Arial" w:cs="Arial"/>
          <w:color w:val="222222"/>
          <w:sz w:val="20"/>
          <w:szCs w:val="20"/>
          <w:lang w:eastAsia="es-ES"/>
        </w:rPr>
        <w:t xml:space="preserve"> – </w:t>
      </w:r>
      <w:proofErr w:type="spellStart"/>
      <w:r w:rsidRPr="008C1AE0">
        <w:rPr>
          <w:rFonts w:ascii="Arial" w:eastAsia="Times New Roman" w:hAnsi="Arial" w:cs="Arial"/>
          <w:color w:val="222222"/>
          <w:sz w:val="20"/>
          <w:szCs w:val="20"/>
          <w:lang w:eastAsia="es-ES"/>
        </w:rPr>
        <w:t>Agustin</w:t>
      </w:r>
      <w:proofErr w:type="spellEnd"/>
      <w:r w:rsidRPr="008C1AE0">
        <w:rPr>
          <w:rFonts w:ascii="Arial" w:eastAsia="Times New Roman" w:hAnsi="Arial" w:cs="Arial"/>
          <w:color w:val="222222"/>
          <w:sz w:val="20"/>
          <w:szCs w:val="20"/>
          <w:lang w:eastAsia="es-ES"/>
        </w:rPr>
        <w:t xml:space="preserve"> Oscar </w:t>
      </w:r>
      <w:proofErr w:type="spellStart"/>
      <w:r w:rsidRPr="008C1AE0">
        <w:rPr>
          <w:rFonts w:ascii="Arial" w:eastAsia="Times New Roman" w:hAnsi="Arial" w:cs="Arial"/>
          <w:color w:val="222222"/>
          <w:sz w:val="20"/>
          <w:szCs w:val="20"/>
          <w:lang w:eastAsia="es-ES"/>
        </w:rPr>
        <w:t>Rossi</w:t>
      </w:r>
      <w:proofErr w:type="spellEnd"/>
      <w:r w:rsidRPr="008C1AE0">
        <w:rPr>
          <w:rFonts w:ascii="Arial" w:eastAsia="Times New Roman" w:hAnsi="Arial" w:cs="Arial"/>
          <w:color w:val="222222"/>
          <w:sz w:val="20"/>
          <w:szCs w:val="20"/>
          <w:lang w:eastAsia="es-ES"/>
        </w:rPr>
        <w:t xml:space="preserve"> – Martín Guzmán – Matías Sebastián </w:t>
      </w:r>
      <w:proofErr w:type="spellStart"/>
      <w:r w:rsidRPr="008C1AE0">
        <w:rPr>
          <w:rFonts w:ascii="Arial" w:eastAsia="Times New Roman" w:hAnsi="Arial" w:cs="Arial"/>
          <w:color w:val="222222"/>
          <w:sz w:val="20"/>
          <w:szCs w:val="20"/>
          <w:lang w:eastAsia="es-ES"/>
        </w:rPr>
        <w:t>Kulfas</w:t>
      </w:r>
      <w:proofErr w:type="spellEnd"/>
      <w:r w:rsidRPr="008C1AE0">
        <w:rPr>
          <w:rFonts w:ascii="Arial" w:eastAsia="Times New Roman" w:hAnsi="Arial" w:cs="Arial"/>
          <w:color w:val="222222"/>
          <w:sz w:val="20"/>
          <w:szCs w:val="20"/>
          <w:lang w:eastAsia="es-ES"/>
        </w:rPr>
        <w:t xml:space="preserve"> – Luis Eugenio </w:t>
      </w:r>
      <w:proofErr w:type="spellStart"/>
      <w:r w:rsidRPr="008C1AE0">
        <w:rPr>
          <w:rFonts w:ascii="Arial" w:eastAsia="Times New Roman" w:hAnsi="Arial" w:cs="Arial"/>
          <w:color w:val="222222"/>
          <w:sz w:val="20"/>
          <w:szCs w:val="20"/>
          <w:lang w:eastAsia="es-ES"/>
        </w:rPr>
        <w:t>Basterra</w:t>
      </w:r>
      <w:proofErr w:type="spellEnd"/>
      <w:r w:rsidRPr="008C1AE0">
        <w:rPr>
          <w:rFonts w:ascii="Arial" w:eastAsia="Times New Roman" w:hAnsi="Arial" w:cs="Arial"/>
          <w:color w:val="222222"/>
          <w:sz w:val="20"/>
          <w:szCs w:val="20"/>
          <w:lang w:eastAsia="es-ES"/>
        </w:rPr>
        <w:t xml:space="preserve"> – Mario Andrés </w:t>
      </w:r>
      <w:proofErr w:type="spellStart"/>
      <w:r w:rsidRPr="008C1AE0">
        <w:rPr>
          <w:rFonts w:ascii="Arial" w:eastAsia="Times New Roman" w:hAnsi="Arial" w:cs="Arial"/>
          <w:color w:val="222222"/>
          <w:sz w:val="20"/>
          <w:szCs w:val="20"/>
          <w:lang w:eastAsia="es-ES"/>
        </w:rPr>
        <w:t>Meoni</w:t>
      </w:r>
      <w:proofErr w:type="spellEnd"/>
      <w:r w:rsidRPr="008C1AE0">
        <w:rPr>
          <w:rFonts w:ascii="Arial" w:eastAsia="Times New Roman" w:hAnsi="Arial" w:cs="Arial"/>
          <w:color w:val="222222"/>
          <w:sz w:val="20"/>
          <w:szCs w:val="20"/>
          <w:lang w:eastAsia="es-ES"/>
        </w:rPr>
        <w:t xml:space="preserve"> – Gabriel Nicolás </w:t>
      </w:r>
      <w:proofErr w:type="spellStart"/>
      <w:r w:rsidRPr="008C1AE0">
        <w:rPr>
          <w:rFonts w:ascii="Arial" w:eastAsia="Times New Roman" w:hAnsi="Arial" w:cs="Arial"/>
          <w:color w:val="222222"/>
          <w:sz w:val="20"/>
          <w:szCs w:val="20"/>
          <w:lang w:eastAsia="es-ES"/>
        </w:rPr>
        <w:t>Katopodis</w:t>
      </w:r>
      <w:proofErr w:type="spellEnd"/>
      <w:r w:rsidRPr="008C1AE0">
        <w:rPr>
          <w:rFonts w:ascii="Arial" w:eastAsia="Times New Roman" w:hAnsi="Arial" w:cs="Arial"/>
          <w:color w:val="222222"/>
          <w:sz w:val="20"/>
          <w:szCs w:val="20"/>
          <w:lang w:eastAsia="es-ES"/>
        </w:rPr>
        <w:t xml:space="preserve"> – Marcela Miriam </w:t>
      </w:r>
      <w:proofErr w:type="spellStart"/>
      <w:r w:rsidRPr="008C1AE0">
        <w:rPr>
          <w:rFonts w:ascii="Arial" w:eastAsia="Times New Roman" w:hAnsi="Arial" w:cs="Arial"/>
          <w:color w:val="222222"/>
          <w:sz w:val="20"/>
          <w:szCs w:val="20"/>
          <w:lang w:eastAsia="es-ES"/>
        </w:rPr>
        <w:t>Losardo</w:t>
      </w:r>
      <w:proofErr w:type="spellEnd"/>
      <w:r w:rsidRPr="008C1AE0">
        <w:rPr>
          <w:rFonts w:ascii="Arial" w:eastAsia="Times New Roman" w:hAnsi="Arial" w:cs="Arial"/>
          <w:color w:val="222222"/>
          <w:sz w:val="20"/>
          <w:szCs w:val="20"/>
          <w:lang w:eastAsia="es-ES"/>
        </w:rPr>
        <w:t xml:space="preserve"> – Sabina Andrea </w:t>
      </w:r>
      <w:proofErr w:type="spellStart"/>
      <w:r w:rsidRPr="008C1AE0">
        <w:rPr>
          <w:rFonts w:ascii="Arial" w:eastAsia="Times New Roman" w:hAnsi="Arial" w:cs="Arial"/>
          <w:color w:val="222222"/>
          <w:sz w:val="20"/>
          <w:szCs w:val="20"/>
          <w:lang w:eastAsia="es-ES"/>
        </w:rPr>
        <w:t>Frederic</w:t>
      </w:r>
      <w:proofErr w:type="spellEnd"/>
      <w:r w:rsidRPr="008C1AE0">
        <w:rPr>
          <w:rFonts w:ascii="Arial" w:eastAsia="Times New Roman" w:hAnsi="Arial" w:cs="Arial"/>
          <w:color w:val="222222"/>
          <w:sz w:val="20"/>
          <w:szCs w:val="20"/>
          <w:lang w:eastAsia="es-ES"/>
        </w:rPr>
        <w:t xml:space="preserve"> – Ginés Mario González García – Daniel Fernando Arroyo – Elizabeth Gómez Alcorta – Nicolás A. </w:t>
      </w:r>
      <w:proofErr w:type="spellStart"/>
      <w:r w:rsidRPr="008C1AE0">
        <w:rPr>
          <w:rFonts w:ascii="Arial" w:eastAsia="Times New Roman" w:hAnsi="Arial" w:cs="Arial"/>
          <w:color w:val="222222"/>
          <w:sz w:val="20"/>
          <w:szCs w:val="20"/>
          <w:lang w:eastAsia="es-ES"/>
        </w:rPr>
        <w:t>Trotta</w:t>
      </w:r>
      <w:proofErr w:type="spellEnd"/>
      <w:r w:rsidRPr="008C1AE0">
        <w:rPr>
          <w:rFonts w:ascii="Arial" w:eastAsia="Times New Roman" w:hAnsi="Arial" w:cs="Arial"/>
          <w:color w:val="222222"/>
          <w:sz w:val="20"/>
          <w:szCs w:val="20"/>
          <w:lang w:eastAsia="es-ES"/>
        </w:rPr>
        <w:t xml:space="preserve"> – Tristán Bauer – Roberto Carlos </w:t>
      </w:r>
      <w:proofErr w:type="spellStart"/>
      <w:r w:rsidRPr="008C1AE0">
        <w:rPr>
          <w:rFonts w:ascii="Arial" w:eastAsia="Times New Roman" w:hAnsi="Arial" w:cs="Arial"/>
          <w:color w:val="222222"/>
          <w:sz w:val="20"/>
          <w:szCs w:val="20"/>
          <w:lang w:eastAsia="es-ES"/>
        </w:rPr>
        <w:t>Salvarezza</w:t>
      </w:r>
      <w:proofErr w:type="spellEnd"/>
      <w:r w:rsidRPr="008C1AE0">
        <w:rPr>
          <w:rFonts w:ascii="Arial" w:eastAsia="Times New Roman" w:hAnsi="Arial" w:cs="Arial"/>
          <w:color w:val="222222"/>
          <w:sz w:val="20"/>
          <w:szCs w:val="20"/>
          <w:lang w:eastAsia="es-ES"/>
        </w:rPr>
        <w:t xml:space="preserve"> – Claudio Omar Moroni – Juan </w:t>
      </w:r>
      <w:proofErr w:type="spellStart"/>
      <w:r w:rsidRPr="008C1AE0">
        <w:rPr>
          <w:rFonts w:ascii="Arial" w:eastAsia="Times New Roman" w:hAnsi="Arial" w:cs="Arial"/>
          <w:color w:val="222222"/>
          <w:sz w:val="20"/>
          <w:szCs w:val="20"/>
          <w:lang w:eastAsia="es-ES"/>
        </w:rPr>
        <w:t>Cabandie</w:t>
      </w:r>
      <w:proofErr w:type="spellEnd"/>
      <w:r w:rsidRPr="008C1AE0">
        <w:rPr>
          <w:rFonts w:ascii="Arial" w:eastAsia="Times New Roman" w:hAnsi="Arial" w:cs="Arial"/>
          <w:color w:val="222222"/>
          <w:sz w:val="20"/>
          <w:szCs w:val="20"/>
          <w:lang w:eastAsia="es-ES"/>
        </w:rPr>
        <w:t xml:space="preserve"> – Matías </w:t>
      </w:r>
      <w:proofErr w:type="spellStart"/>
      <w:r w:rsidRPr="008C1AE0">
        <w:rPr>
          <w:rFonts w:ascii="Arial" w:eastAsia="Times New Roman" w:hAnsi="Arial" w:cs="Arial"/>
          <w:color w:val="222222"/>
          <w:sz w:val="20"/>
          <w:szCs w:val="20"/>
          <w:lang w:eastAsia="es-ES"/>
        </w:rPr>
        <w:t>Lammens</w:t>
      </w:r>
      <w:proofErr w:type="spellEnd"/>
      <w:r w:rsidRPr="008C1AE0">
        <w:rPr>
          <w:rFonts w:ascii="Arial" w:eastAsia="Times New Roman" w:hAnsi="Arial" w:cs="Arial"/>
          <w:color w:val="222222"/>
          <w:sz w:val="20"/>
          <w:szCs w:val="20"/>
          <w:lang w:eastAsia="es-ES"/>
        </w:rPr>
        <w:t xml:space="preserve"> – María Eugenia Bielsa</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e. 25/03/2020 N° 15975/20 v. 25/03/2020</w:t>
      </w:r>
    </w:p>
    <w:p w:rsidR="008C1AE0" w:rsidRPr="008C1AE0" w:rsidRDefault="008C1AE0" w:rsidP="008C1AE0">
      <w:pPr>
        <w:shd w:val="clear" w:color="auto" w:fill="FFFFFF"/>
        <w:spacing w:after="326" w:line="240" w:lineRule="auto"/>
        <w:jc w:val="both"/>
        <w:rPr>
          <w:rFonts w:ascii="Arial" w:eastAsia="Times New Roman" w:hAnsi="Arial" w:cs="Arial"/>
          <w:color w:val="222222"/>
          <w:sz w:val="20"/>
          <w:szCs w:val="20"/>
          <w:lang w:eastAsia="es-ES"/>
        </w:rPr>
      </w:pPr>
      <w:r w:rsidRPr="008C1AE0">
        <w:rPr>
          <w:rFonts w:ascii="Arial" w:eastAsia="Times New Roman" w:hAnsi="Arial" w:cs="Arial"/>
          <w:color w:val="222222"/>
          <w:sz w:val="20"/>
          <w:szCs w:val="20"/>
          <w:lang w:eastAsia="es-ES"/>
        </w:rPr>
        <w:t>Fecha de publicación 25/03/2020</w:t>
      </w:r>
    </w:p>
    <w:p w:rsidR="004C7332" w:rsidRDefault="004C7332" w:rsidP="008C1AE0">
      <w:pPr>
        <w:jc w:val="both"/>
      </w:pPr>
    </w:p>
    <w:sectPr w:rsidR="004C7332" w:rsidSect="004C73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0F8"/>
    <w:multiLevelType w:val="multilevel"/>
    <w:tmpl w:val="B0623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D50DF"/>
    <w:multiLevelType w:val="multilevel"/>
    <w:tmpl w:val="6936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C1AE0"/>
    <w:rsid w:val="004C7332"/>
    <w:rsid w:val="008C1A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32"/>
  </w:style>
  <w:style w:type="paragraph" w:styleId="Ttulo1">
    <w:name w:val="heading 1"/>
    <w:basedOn w:val="Normal"/>
    <w:link w:val="Ttulo1Car"/>
    <w:uiPriority w:val="9"/>
    <w:qFormat/>
    <w:rsid w:val="008C1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C1AE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1AE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C1AE0"/>
    <w:rPr>
      <w:rFonts w:ascii="Times New Roman" w:eastAsia="Times New Roman" w:hAnsi="Times New Roman" w:cs="Times New Roman"/>
      <w:b/>
      <w:bCs/>
      <w:sz w:val="36"/>
      <w:szCs w:val="36"/>
      <w:lang w:eastAsia="es-ES"/>
    </w:rPr>
  </w:style>
  <w:style w:type="paragraph" w:customStyle="1" w:styleId="entry-meta">
    <w:name w:val="entry-meta"/>
    <w:basedOn w:val="Normal"/>
    <w:rsid w:val="008C1A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try-author">
    <w:name w:val="entry-author"/>
    <w:basedOn w:val="Fuentedeprrafopredeter"/>
    <w:rsid w:val="008C1AE0"/>
  </w:style>
  <w:style w:type="character" w:styleId="Hipervnculo">
    <w:name w:val="Hyperlink"/>
    <w:basedOn w:val="Fuentedeprrafopredeter"/>
    <w:uiPriority w:val="99"/>
    <w:semiHidden/>
    <w:unhideWhenUsed/>
    <w:rsid w:val="008C1AE0"/>
    <w:rPr>
      <w:color w:val="0000FF"/>
      <w:u w:val="single"/>
    </w:rPr>
  </w:style>
  <w:style w:type="character" w:customStyle="1" w:styleId="entry-author-name">
    <w:name w:val="entry-author-name"/>
    <w:basedOn w:val="Fuentedeprrafopredeter"/>
    <w:rsid w:val="008C1AE0"/>
  </w:style>
  <w:style w:type="character" w:customStyle="1" w:styleId="entry-comments-link">
    <w:name w:val="entry-comments-link"/>
    <w:basedOn w:val="Fuentedeprrafopredeter"/>
    <w:rsid w:val="008C1AE0"/>
  </w:style>
  <w:style w:type="paragraph" w:customStyle="1" w:styleId="has-background">
    <w:name w:val="has-background"/>
    <w:basedOn w:val="Normal"/>
    <w:rsid w:val="008C1A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C1A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C1AE0"/>
    <w:rPr>
      <w:b/>
      <w:bCs/>
    </w:rPr>
  </w:style>
</w:styles>
</file>

<file path=word/webSettings.xml><?xml version="1.0" encoding="utf-8"?>
<w:webSettings xmlns:r="http://schemas.openxmlformats.org/officeDocument/2006/relationships" xmlns:w="http://schemas.openxmlformats.org/wordprocessingml/2006/main">
  <w:divs>
    <w:div w:id="1901868047">
      <w:bodyDiv w:val="1"/>
      <w:marLeft w:val="0"/>
      <w:marRight w:val="0"/>
      <w:marTop w:val="0"/>
      <w:marBottom w:val="0"/>
      <w:divBdr>
        <w:top w:val="none" w:sz="0" w:space="0" w:color="auto"/>
        <w:left w:val="none" w:sz="0" w:space="0" w:color="auto"/>
        <w:bottom w:val="none" w:sz="0" w:space="0" w:color="auto"/>
        <w:right w:val="none" w:sz="0" w:space="0" w:color="auto"/>
      </w:divBdr>
      <w:divsChild>
        <w:div w:id="7860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nacioonline.com.ar/suscripcion/" TargetMode="External"/><Relationship Id="rId3" Type="http://schemas.openxmlformats.org/officeDocument/2006/relationships/styles" Target="styles.xml"/><Relationship Id="rId7" Type="http://schemas.openxmlformats.org/officeDocument/2006/relationships/hyperlink" Target="https://www.ignacioonline.com.ar/decreto-311-20-abstencion-de-corte-de-servicios-en-caso-de-mora-o-falta-de-pa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gnacioonline.com.ar/author/ignacioonli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99FA-F2B0-4BB9-BDCD-4D75FAD5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2086</Words>
  <Characters>11474</Characters>
  <Application>Microsoft Office Word</Application>
  <DocSecurity>0</DocSecurity>
  <Lines>95</Lines>
  <Paragraphs>27</Paragraphs>
  <ScaleCrop>false</ScaleCrop>
  <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2020-04-18T23:31:00Z</dcterms:created>
  <dcterms:modified xsi:type="dcterms:W3CDTF">2020-04-18T23:33:00Z</dcterms:modified>
</cp:coreProperties>
</file>